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248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  <w:gridCol w:w="7940"/>
        <w:gridCol w:w="2160"/>
      </w:tblGrid>
      <w:tr w:rsidR="00163917" w:rsidRPr="00A93F79" w14:paraId="4FBACB11" w14:textId="77777777" w:rsidTr="00977E82">
        <w:trPr>
          <w:gridAfter w:val="2"/>
          <w:wAfter w:w="10100" w:type="dxa"/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36F4284C" w14:textId="6DF0306C" w:rsidR="00163917" w:rsidRPr="00A93F79" w:rsidRDefault="00163917" w:rsidP="00D47513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</w:t>
            </w:r>
            <w:r w:rsidR="007A778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NG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D4751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4877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2023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="004877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27</w:t>
            </w:r>
          </w:p>
        </w:tc>
      </w:tr>
      <w:tr w:rsidR="00163917" w:rsidRPr="00A93F79" w14:paraId="4C95966C" w14:textId="77777777" w:rsidTr="00977E82">
        <w:trPr>
          <w:gridAfter w:val="2"/>
          <w:wAfter w:w="10100" w:type="dxa"/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4C0D34C0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31AD80F8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8396E0D" w14:textId="77777777" w:rsidR="00163917" w:rsidRPr="00EA6D63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EA6D6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E3FDF41" w14:textId="77777777" w:rsidR="00EA6D63" w:rsidRPr="00C566FA" w:rsidRDefault="00EA6D6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566FA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14:paraId="7364CE73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D510C22" w14:textId="584B7FE8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ENG </w:t>
            </w:r>
            <w:r w:rsidR="00163917"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294B6605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14:paraId="3FCDD6B1" w14:textId="77777777" w:rsidTr="00977E82">
        <w:trPr>
          <w:gridAfter w:val="2"/>
          <w:wAfter w:w="10100" w:type="dxa"/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1B88773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F3114E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58FCB33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717547FB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B576F0E" w14:textId="273C1647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44C4421" w14:textId="0B828FEB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CDE69E0" w14:textId="3732B653" w:rsidR="00163917" w:rsidRPr="00A93F79" w:rsidRDefault="001708F0" w:rsidP="00361CAC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</w:t>
            </w:r>
            <w:r w:rsidR="00361CAC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B907F95" w14:textId="4B0E770E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17B3C5E" w14:textId="79F44CBE" w:rsidR="00163917" w:rsidRPr="00A93F79" w:rsidRDefault="00361CAC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FC78F55" w14:textId="0DDDB305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65D277A9" w14:textId="47F4B8D6" w:rsidR="00163917" w:rsidRPr="00A93F79" w:rsidRDefault="00361CAC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23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564568AF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14:paraId="0C3505FE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56B22B53" w14:textId="77777777" w:rsidR="00181617" w:rsidRPr="007107F9" w:rsidRDefault="00471EEA" w:rsidP="00C44A3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</w:t>
            </w:r>
            <w:r w:rsidR="009E10B6"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1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536390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proofErr w:type="spellStart"/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AtoN</w:t>
            </w:r>
            <w:proofErr w:type="spellEnd"/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 xml:space="preserve"> planning and service requirements</w:t>
            </w:r>
          </w:p>
        </w:tc>
      </w:tr>
      <w:tr w:rsidR="002C3935" w:rsidRPr="00A93F79" w14:paraId="72DADC49" w14:textId="77777777" w:rsidTr="00977E82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5C4089A8" w14:textId="38747DA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2EDE9D8" w14:textId="300F9C32" w:rsidR="002C3935" w:rsidRPr="00A93F79" w:rsidRDefault="002C3935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Compile new Guideline on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Tender requirements and specification – </w:t>
            </w:r>
            <w:r w:rsidR="00C51DEA">
              <w:rPr>
                <w:rFonts w:ascii="Calibri" w:hAnsi="Calibri" w:cs="Arial"/>
                <w:sz w:val="18"/>
                <w:szCs w:val="18"/>
              </w:rPr>
              <w:t>Led by ARM with ENG support.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6C30C7F3" w14:textId="1412813F" w:rsidR="002C3935" w:rsidRPr="009B717D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Tender requirements.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73B63B" w14:textId="5A368CAB" w:rsidR="002C3935" w:rsidRPr="00A93F79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22C023" w14:textId="226E9990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031DC3B" w14:textId="5C0AB92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3DA6AEB" w14:textId="5E541DDE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44AF02" w14:textId="5B9AD7C2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EFAC04F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B075B5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0A086E2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96355AE" w14:textId="09CEBFA5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5DBD6D63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E2BB4A2" w14:textId="77777777" w:rsidR="002C3935" w:rsidRPr="007107F9" w:rsidRDefault="002C3935" w:rsidP="002C3935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 xml:space="preserve">Standard 1020 – </w:t>
            </w:r>
            <w:proofErr w:type="spellStart"/>
            <w:r w:rsidRPr="007107F9">
              <w:rPr>
                <w:rFonts w:ascii="Calibri" w:hAnsi="Calibri"/>
                <w:b/>
                <w:sz w:val="18"/>
                <w:szCs w:val="18"/>
              </w:rPr>
              <w:t>AtoN</w:t>
            </w:r>
            <w:proofErr w:type="spellEnd"/>
            <w:r w:rsidRPr="007107F9">
              <w:rPr>
                <w:rFonts w:ascii="Calibri" w:hAnsi="Calibri"/>
                <w:b/>
                <w:sz w:val="18"/>
                <w:szCs w:val="18"/>
              </w:rPr>
              <w:t xml:space="preserve"> Design and delivery</w:t>
            </w:r>
          </w:p>
        </w:tc>
      </w:tr>
      <w:tr w:rsidR="00361CAC" w:rsidRPr="00536390" w14:paraId="262E697F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 w:val="restart"/>
            <w:vAlign w:val="center"/>
          </w:tcPr>
          <w:p w14:paraId="420A512F" w14:textId="70B9012B" w:rsidR="00361CAC" w:rsidRDefault="00361CAC" w:rsidP="00361C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bookmarkStart w:id="0" w:name="_Hlk520881887"/>
            <w:r>
              <w:rPr>
                <w:rFonts w:ascii="Calibri" w:hAnsi="Calibri" w:cs="Arial"/>
                <w:sz w:val="18"/>
                <w:szCs w:val="18"/>
              </w:rPr>
              <w:t xml:space="preserve">Visual </w:t>
            </w:r>
            <w:r w:rsidRPr="00361CAC">
              <w:rPr>
                <w:rFonts w:ascii="Calibri" w:hAnsi="Calibri"/>
                <w:sz w:val="18"/>
                <w:szCs w:val="18"/>
              </w:rPr>
              <w:t>Signalling</w:t>
            </w:r>
          </w:p>
          <w:p w14:paraId="4B05FCBE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712D00B0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5683D3C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A68B626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71A5431" w14:textId="084C903C" w:rsidR="00361CAC" w:rsidRPr="003D2A21" w:rsidRDefault="00361CAC" w:rsidP="00361CA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1CC4D9" w14:textId="5B0EDA32" w:rsidR="00361CAC" w:rsidRPr="00536390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  <w:lang w:val="fr-FR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>Review &amp; update guideline 1043 on Light sources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and amalgamate with Guideline on m</w:t>
            </w:r>
            <w:r w:rsidRPr="00FF45E2">
              <w:rPr>
                <w:rFonts w:ascii="Calibri" w:hAnsi="Calibri" w:cs="Arial"/>
                <w:sz w:val="18"/>
                <w:szCs w:val="18"/>
              </w:rPr>
              <w:t>odern equipm</w:t>
            </w:r>
            <w:r>
              <w:rPr>
                <w:rFonts w:ascii="Calibri" w:hAnsi="Calibri" w:cs="Arial"/>
                <w:sz w:val="18"/>
                <w:szCs w:val="18"/>
              </w:rPr>
              <w:t>ent in traditional lighthouses</w:t>
            </w:r>
          </w:p>
        </w:tc>
        <w:tc>
          <w:tcPr>
            <w:tcW w:w="3804" w:type="dxa"/>
            <w:vAlign w:val="center"/>
          </w:tcPr>
          <w:p w14:paraId="62B8ABFF" w14:textId="2CFAF4ED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amalgamated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AB3671" w14:textId="4000659F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005480F8" w14:textId="0F335758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4E45D7F" w14:textId="117D4E59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7E39BD8" w14:textId="19EC18B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1DE7301" w14:textId="33A3471E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DEEB66C" w14:textId="3C7A1C7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19D90489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58FB132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48D9232" w14:textId="49CF9B00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E4735B" w:rsidRPr="00536390" w14:paraId="0CDBA911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1189D517" w14:textId="77777777" w:rsidR="00E4735B" w:rsidRDefault="00E4735B" w:rsidP="00E4735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FC080C2" w14:textId="4F25DB81" w:rsidR="00E4735B" w:rsidRPr="00C44A3E" w:rsidRDefault="00E4735B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Guideline 1048 LED Technologies and their use in signal lights</w:t>
            </w:r>
          </w:p>
        </w:tc>
        <w:tc>
          <w:tcPr>
            <w:tcW w:w="3804" w:type="dxa"/>
            <w:vAlign w:val="center"/>
          </w:tcPr>
          <w:p w14:paraId="47189587" w14:textId="7A62D693" w:rsidR="00E4735B" w:rsidRDefault="00E4735B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52D2A0C" w14:textId="3CCEC920" w:rsidR="00E4735B" w:rsidRDefault="00E4735B" w:rsidP="00E4735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0B2C536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65445A98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A5458FB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60E6595E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7FFF5039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0B59C30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52358C1E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B4D3AF5" w14:textId="77777777" w:rsidR="00E4735B" w:rsidRPr="00536390" w:rsidRDefault="00E4735B" w:rsidP="00E4735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361CAC" w:rsidRPr="00536390" w14:paraId="5E2F8263" w14:textId="77777777" w:rsidTr="00977E82">
        <w:trPr>
          <w:gridAfter w:val="2"/>
          <w:wAfter w:w="10100" w:type="dxa"/>
          <w:trHeight w:val="543"/>
        </w:trPr>
        <w:tc>
          <w:tcPr>
            <w:tcW w:w="2894" w:type="dxa"/>
            <w:vMerge/>
            <w:vAlign w:val="center"/>
          </w:tcPr>
          <w:p w14:paraId="02FA56D4" w14:textId="77777777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E1B584" w14:textId="268DBCFA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5FD7320" w14:textId="3D4AB81D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4736923A" w14:textId="6A47554F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1394A1BA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80D0A34" w14:textId="77777777" w:rsidR="00361CAC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74D381F" w14:textId="2BACC931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286EBED3" w14:textId="3CD969DC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3B9B7C05" w14:textId="4C1781BF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56F19DB6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E3C3D6A" w14:textId="77777777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80CCD5F" w14:textId="62D6235D" w:rsidR="00361CAC" w:rsidRPr="00536390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361CAC" w:rsidRPr="003D2A21" w14:paraId="541874FC" w14:textId="77777777" w:rsidTr="00977E82">
        <w:trPr>
          <w:gridAfter w:val="2"/>
          <w:wAfter w:w="10100" w:type="dxa"/>
          <w:trHeight w:val="71"/>
        </w:trPr>
        <w:tc>
          <w:tcPr>
            <w:tcW w:w="2894" w:type="dxa"/>
            <w:vMerge/>
            <w:vAlign w:val="center"/>
          </w:tcPr>
          <w:p w14:paraId="5D92051A" w14:textId="77777777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5DA99BA" w14:textId="696391EF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E-112 Leading Lights and 1023 Leading Lines into a guideline</w:t>
            </w:r>
          </w:p>
        </w:tc>
        <w:tc>
          <w:tcPr>
            <w:tcW w:w="3804" w:type="dxa"/>
            <w:vAlign w:val="center"/>
          </w:tcPr>
          <w:p w14:paraId="6E4841E5" w14:textId="268C0458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14D969" w14:textId="4DA09BA7" w:rsidR="00361CAC" w:rsidRPr="003D2A21" w:rsidRDefault="00361CAC" w:rsidP="00361CA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E58EA6" w14:textId="0D3F7A4D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09E59A8" w14:textId="74B79271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E27CD7" w14:textId="51B7013E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CDC12C8" w14:textId="0598CB2C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1C951DB" w14:textId="31CC4C53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356182D" w14:textId="2A3E443B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EA331D" w14:textId="08CB5A1F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7C549" w14:textId="5C54549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0153CA14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494CBDF0" w14:textId="31752C5D" w:rsidR="00361CAC" w:rsidRPr="00536390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1F8A97" w14:textId="3081349F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Complete Guideline 1061 </w:t>
            </w:r>
            <w:r w:rsidR="00E4735B">
              <w:rPr>
                <w:rFonts w:ascii="Calibri" w:hAnsi="Calibri" w:cs="Arial"/>
                <w:sz w:val="18"/>
                <w:szCs w:val="18"/>
              </w:rPr>
              <w:t xml:space="preserve">(2008) </w:t>
            </w:r>
            <w:r>
              <w:rPr>
                <w:rFonts w:ascii="Calibri" w:hAnsi="Calibri" w:cs="Arial"/>
                <w:sz w:val="18"/>
                <w:szCs w:val="18"/>
              </w:rPr>
              <w:t>on Illumination of Structures</w:t>
            </w:r>
          </w:p>
        </w:tc>
        <w:tc>
          <w:tcPr>
            <w:tcW w:w="3804" w:type="dxa"/>
            <w:vAlign w:val="center"/>
          </w:tcPr>
          <w:p w14:paraId="751473A2" w14:textId="6406B70D" w:rsidR="00361CAC" w:rsidRPr="003D2A21" w:rsidRDefault="00361CAC" w:rsidP="00E4735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A4F135" w14:textId="25803B59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EC652B3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95F6BB4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B3A797" w14:textId="0870B12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3312579" w14:textId="74414E95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F774FBA" w14:textId="299FD87F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F3A51F7" w14:textId="3A2146A4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B671778" w14:textId="151DFA8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CFC2CE9" w14:textId="59B0F0F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0"/>
      <w:tr w:rsidR="00140C4D" w:rsidRPr="003D2A21" w14:paraId="4664CA73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 w:val="restart"/>
            <w:vAlign w:val="center"/>
          </w:tcPr>
          <w:p w14:paraId="067C162B" w14:textId="7733A7F3" w:rsidR="00140C4D" w:rsidRPr="00536390" w:rsidRDefault="00140C4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Range and performance</w:t>
            </w:r>
          </w:p>
        </w:tc>
        <w:tc>
          <w:tcPr>
            <w:tcW w:w="4680" w:type="dxa"/>
            <w:vAlign w:val="center"/>
          </w:tcPr>
          <w:p w14:paraId="616B2C3D" w14:textId="085B3378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E200-3 on Light measurement into a guideline</w:t>
            </w:r>
          </w:p>
        </w:tc>
        <w:tc>
          <w:tcPr>
            <w:tcW w:w="3804" w:type="dxa"/>
            <w:vAlign w:val="center"/>
          </w:tcPr>
          <w:p w14:paraId="678D0379" w14:textId="6E149269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Light measurement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CB1558" w14:textId="43718B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4FEA963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B4FB54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1AA07B" w14:textId="148E8E6B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28B55CB" w14:textId="0F2188EC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6670EB0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AB236B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27AA386" w14:textId="77777777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E03BD9" w14:textId="071179B6" w:rsidR="00140C4D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140C4D" w:rsidRPr="003D2A21" w14:paraId="567A980A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444D5682" w14:textId="77777777" w:rsidR="00140C4D" w:rsidRDefault="00140C4D" w:rsidP="00140C4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FCA2B9" w14:textId="00E64C3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FF45E2">
              <w:rPr>
                <w:rFonts w:ascii="Calibri" w:hAnsi="Calibri" w:cs="Arial"/>
                <w:sz w:val="18"/>
                <w:szCs w:val="18"/>
              </w:rPr>
              <w:t>Develop Guidance on monitoring of function and de</w:t>
            </w:r>
            <w:r>
              <w:rPr>
                <w:rFonts w:ascii="Calibri" w:hAnsi="Calibri" w:cs="Arial"/>
                <w:sz w:val="18"/>
                <w:szCs w:val="18"/>
              </w:rPr>
              <w:t xml:space="preserve">gradation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light sources</w:t>
            </w:r>
          </w:p>
        </w:tc>
        <w:tc>
          <w:tcPr>
            <w:tcW w:w="3804" w:type="dxa"/>
            <w:vAlign w:val="center"/>
          </w:tcPr>
          <w:p w14:paraId="27FB89D2" w14:textId="1E06FD7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Add to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7E3055E" w14:textId="0D36F1D7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5B51DD4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EA40AC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63E1710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7077F1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5A2F9E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85B0D3B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176E3E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5ED2A3F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0C4D" w:rsidRPr="003D2A21" w14:paraId="47A72238" w14:textId="77777777" w:rsidTr="00977E82">
        <w:trPr>
          <w:gridAfter w:val="2"/>
          <w:wAfter w:w="10100" w:type="dxa"/>
          <w:trHeight w:val="621"/>
        </w:trPr>
        <w:tc>
          <w:tcPr>
            <w:tcW w:w="2894" w:type="dxa"/>
            <w:vMerge/>
            <w:vAlign w:val="center"/>
          </w:tcPr>
          <w:p w14:paraId="67E2749E" w14:textId="77777777" w:rsidR="00140C4D" w:rsidRDefault="00140C4D" w:rsidP="00140C4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5A0C84F" w14:textId="696E1CE3" w:rsidR="00140C4D" w:rsidRPr="00FF45E2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Guideline 1041 on Sector Lights </w:t>
            </w:r>
            <w:r w:rsidRPr="00140C4D">
              <w:rPr>
                <w:rFonts w:ascii="Calibri" w:hAnsi="Calibri" w:cs="Arial"/>
                <w:sz w:val="18"/>
                <w:szCs w:val="18"/>
              </w:rPr>
              <w:t>to define ‘Angle of Uncertainty’</w:t>
            </w:r>
          </w:p>
        </w:tc>
        <w:tc>
          <w:tcPr>
            <w:tcW w:w="3804" w:type="dxa"/>
            <w:vAlign w:val="center"/>
          </w:tcPr>
          <w:p w14:paraId="343162A8" w14:textId="5338E6FE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A2867E" w14:textId="23B91E03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270E8A3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3D8E573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2E7509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F0B3BDE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04A863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6BCB7A7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0DE6BC4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FD91FD5" w14:textId="77777777" w:rsidR="00140C4D" w:rsidRPr="003D2A21" w:rsidRDefault="00140C4D" w:rsidP="00140C4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31A467F3" w14:textId="77777777" w:rsidTr="00977E82">
        <w:trPr>
          <w:gridAfter w:val="2"/>
          <w:wAfter w:w="10100" w:type="dxa"/>
          <w:trHeight w:val="219"/>
        </w:trPr>
        <w:tc>
          <w:tcPr>
            <w:tcW w:w="2894" w:type="dxa"/>
            <w:vMerge w:val="restart"/>
            <w:vAlign w:val="center"/>
          </w:tcPr>
          <w:p w14:paraId="344FA4F1" w14:textId="79332B8F" w:rsidR="00361CAC" w:rsidRPr="00361CAC" w:rsidRDefault="00361CAC" w:rsidP="00361CAC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Design, Implementation &amp; Maintenance</w:t>
            </w:r>
          </w:p>
        </w:tc>
        <w:tc>
          <w:tcPr>
            <w:tcW w:w="4680" w:type="dxa"/>
            <w:vAlign w:val="center"/>
          </w:tcPr>
          <w:p w14:paraId="6E7793DB" w14:textId="7B35507B" w:rsidR="00361CAC" w:rsidRPr="00C44A3E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G1035 Dec 2004 Availability and reliability of </w:t>
            </w:r>
            <w:proofErr w:type="spellStart"/>
            <w:r w:rsidRPr="009B38C9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9B38C9">
              <w:rPr>
                <w:rFonts w:ascii="Calibri" w:hAnsi="Calibri" w:cs="Arial"/>
                <w:sz w:val="18"/>
                <w:szCs w:val="18"/>
              </w:rPr>
              <w:t xml:space="preserve"> – theory and examples 2.0 Provides a method of calculating availability and reliability calculation with a view to enabling members to provide a cost-effective </w:t>
            </w:r>
            <w:proofErr w:type="spellStart"/>
            <w:r w:rsidRPr="009B38C9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9B38C9">
              <w:rPr>
                <w:rFonts w:ascii="Calibri" w:hAnsi="Calibri" w:cs="Arial"/>
                <w:sz w:val="18"/>
                <w:szCs w:val="18"/>
              </w:rPr>
              <w:t xml:space="preserve"> service.</w:t>
            </w:r>
          </w:p>
        </w:tc>
        <w:tc>
          <w:tcPr>
            <w:tcW w:w="3804" w:type="dxa"/>
            <w:vAlign w:val="center"/>
          </w:tcPr>
          <w:p w14:paraId="7C701E62" w14:textId="7DDDECAE" w:rsidR="00361CAC" w:rsidRPr="003D2A21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A901B" w14:textId="4244306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B875B69" w14:textId="42A88796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2CAB1DF" w14:textId="121B76C8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16930C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1427C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647A170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927E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B4D413B" w14:textId="7777777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DCC4CA0" w14:textId="1AB0F7B4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61CAC" w:rsidRPr="003D2A21" w14:paraId="6F02918D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4349AA13" w14:textId="1B6E1FF4" w:rsidR="00361CAC" w:rsidRPr="003D2A21" w:rsidRDefault="00361CAC" w:rsidP="002C3935">
            <w:pPr>
              <w:pStyle w:val="Agenda2"/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C0E612F" w14:textId="44FF9E10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G103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 Dec 2009 Data collection for </w:t>
            </w:r>
            <w:proofErr w:type="spellStart"/>
            <w:r w:rsidRPr="009B38C9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9B38C9">
              <w:rPr>
                <w:rFonts w:ascii="Calibri" w:hAnsi="Calibri" w:cs="Arial"/>
                <w:sz w:val="18"/>
                <w:szCs w:val="18"/>
              </w:rPr>
              <w:t xml:space="preserve"> performance calculation 2.0 Provides details of methods that can be used to collect information on the availability and reliability of </w:t>
            </w:r>
            <w:proofErr w:type="spellStart"/>
            <w:r w:rsidRPr="009B38C9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9B38C9">
              <w:rPr>
                <w:rFonts w:ascii="Calibri" w:hAnsi="Calibri" w:cs="Arial"/>
                <w:sz w:val="18"/>
                <w:szCs w:val="18"/>
              </w:rPr>
              <w:t xml:space="preserve"> equipment.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3073" w14:textId="01D1DBBF" w:rsidR="00361CAC" w:rsidRPr="00BD0D68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5686AA" w14:textId="4D01E35E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1790E42" w14:textId="18470E69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C24E666" w14:textId="7E58306F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EA7AA87" w14:textId="332DC7D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5BDDC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B9158F9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0EF6D6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205A4A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34ADF6" w14:textId="14845140" w:rsidR="00361CAC" w:rsidRPr="003D2A21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5F03F416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8DCF6A9" w14:textId="013F1B75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FEFB112" w14:textId="47E9F6C1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Dec 2009 Maintenance of </w:t>
            </w:r>
            <w:proofErr w:type="spellStart"/>
            <w:r w:rsidRPr="009B38C9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9B38C9">
              <w:rPr>
                <w:rFonts w:ascii="Calibri" w:hAnsi="Calibri" w:cs="Arial"/>
                <w:sz w:val="18"/>
                <w:szCs w:val="18"/>
              </w:rPr>
              <w:t xml:space="preserve"> 1.0 Information to help develop a maintenance strategy. Several annexes are attached to provide detailed information on the activities involved in the [maintenance.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ED29" w14:textId="5D35486E" w:rsidR="00361CAC" w:rsidRPr="00C7011A" w:rsidRDefault="00140C4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5F0DD8" w14:textId="5C7C61F7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A2EA0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F961E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C2E3781" w14:textId="2565DD8B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414467A" w14:textId="47CD2DE1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8E07E7A" w14:textId="09C0E2E5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760E517" w14:textId="64A785B2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4163DF" w14:textId="32543CA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6A1248D" w14:textId="77777777" w:rsidR="00361CAC" w:rsidRPr="003D2A21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1881E42A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35B7D90B" w14:textId="77777777" w:rsidR="00361CAC" w:rsidRPr="00CE3AF1" w:rsidRDefault="00361CAC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90E47CC" w14:textId="7D1814C6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complimentary use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Eg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 Tsunami monitoring, Met Hydro monitoring, Private communications platforms etc.</w:t>
            </w:r>
          </w:p>
        </w:tc>
        <w:tc>
          <w:tcPr>
            <w:tcW w:w="3804" w:type="dxa"/>
            <w:vAlign w:val="center"/>
          </w:tcPr>
          <w:p w14:paraId="63E53DEA" w14:textId="6B0AFC98" w:rsidR="00361CAC" w:rsidRPr="00C7011A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on Complimentary use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</w:p>
        </w:tc>
        <w:tc>
          <w:tcPr>
            <w:tcW w:w="416" w:type="dxa"/>
            <w:vAlign w:val="center"/>
          </w:tcPr>
          <w:p w14:paraId="6C852DEB" w14:textId="76002EAA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C3F9080" w14:textId="60147E78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D97495B" w14:textId="0C20C439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FE5ED24" w14:textId="5B5FFAAE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C76A0C" w14:textId="58088EED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3C44D3" w14:textId="482895D3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E290CCB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DCC627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AA8A21" w14:textId="2411564D" w:rsidR="00361CAC" w:rsidRPr="007C79CE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40580" w:rsidRPr="003D2A21" w14:paraId="6792E40B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590C1197" w14:textId="77777777" w:rsidR="00340580" w:rsidRPr="00CE3AF1" w:rsidRDefault="00340580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F0BA3B9" w14:textId="5A1859A1" w:rsidR="00340580" w:rsidRDefault="00340580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meteorological and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oceanographical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data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disemination</w:t>
            </w:r>
            <w:proofErr w:type="spellEnd"/>
          </w:p>
        </w:tc>
        <w:tc>
          <w:tcPr>
            <w:tcW w:w="3804" w:type="dxa"/>
            <w:vAlign w:val="center"/>
          </w:tcPr>
          <w:p w14:paraId="3C94D031" w14:textId="7D51480B" w:rsidR="00340580" w:rsidRDefault="00340580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vAlign w:val="center"/>
          </w:tcPr>
          <w:p w14:paraId="3403B56D" w14:textId="3245B792" w:rsidR="00340580" w:rsidRDefault="00340580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244" w:type="dxa"/>
            <w:vAlign w:val="center"/>
          </w:tcPr>
          <w:p w14:paraId="0D53F755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9443E76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A1D12C0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654071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F661015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983D816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205918C" w14:textId="77777777" w:rsidR="00340580" w:rsidRPr="003D2A21" w:rsidRDefault="00340580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AAD5B42" w14:textId="77777777" w:rsidR="00340580" w:rsidRPr="007C79CE" w:rsidRDefault="00340580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6A8C8547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4A1AE05F" w14:textId="77777777" w:rsidR="00361CAC" w:rsidRPr="00CE3AF1" w:rsidRDefault="00361CAC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1E706F" w14:textId="4F50CC34" w:rsidR="00361CAC" w:rsidRPr="00FF45E2" w:rsidRDefault="00361CA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review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696" w14:textId="1131BC50" w:rsidR="00361CAC" w:rsidRPr="00C7011A" w:rsidRDefault="00361CAC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of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for the 202</w:t>
            </w:r>
            <w:r w:rsidR="00140C4D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publication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8B3E2E" w14:textId="19FEBBEC" w:rsidR="00361CAC" w:rsidRPr="003D2A21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6DD1B56" w14:textId="36F9FB98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B6EAE07" w14:textId="1A1872D4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016F8B8" w14:textId="3F64D3A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506AD6" w14:textId="4A4E782B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1F4BDE" w14:textId="40990B2C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AE46A7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D9557F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1AED1" w14:textId="4F606895" w:rsidR="00361CAC" w:rsidRPr="007C79CE" w:rsidRDefault="00361CA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61CAC" w:rsidRPr="003D2A21" w14:paraId="473A082A" w14:textId="77777777" w:rsidTr="00DB147C">
        <w:trPr>
          <w:gridAfter w:val="2"/>
          <w:wAfter w:w="10100" w:type="dxa"/>
          <w:trHeight w:val="1293"/>
        </w:trPr>
        <w:tc>
          <w:tcPr>
            <w:tcW w:w="2894" w:type="dxa"/>
            <w:vMerge/>
            <w:vAlign w:val="center"/>
          </w:tcPr>
          <w:p w14:paraId="763CC904" w14:textId="77777777" w:rsidR="00361CAC" w:rsidRPr="00CE3AF1" w:rsidRDefault="00361CAC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F89152" w14:textId="228F247B" w:rsidR="00361CAC" w:rsidRPr="00FF45E2" w:rsidRDefault="00140C4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and </w:t>
            </w:r>
            <w:r w:rsidR="00361CAC">
              <w:rPr>
                <w:rFonts w:ascii="Calibri" w:hAnsi="Calibri" w:cs="Arial"/>
                <w:sz w:val="18"/>
                <w:szCs w:val="18"/>
              </w:rPr>
              <w:t>Amalgamate the Guidelines 1108, 1136 and new guideline “</w:t>
            </w:r>
            <w:proofErr w:type="spellStart"/>
            <w:r w:rsidR="00361CAC" w:rsidRPr="00923E53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="00361CAC" w:rsidRPr="00923E53">
              <w:rPr>
                <w:rFonts w:ascii="Calibri" w:hAnsi="Calibri" w:cs="Arial"/>
                <w:sz w:val="18"/>
                <w:szCs w:val="18"/>
              </w:rPr>
              <w:t xml:space="preserve"> equipment and structures exposed to extreme environmental conditions into one guideline</w:t>
            </w:r>
            <w:r w:rsidR="00361CAC">
              <w:rPr>
                <w:rFonts w:ascii="Calibri" w:hAnsi="Calibri" w:cs="Arial"/>
                <w:sz w:val="18"/>
                <w:szCs w:val="18"/>
              </w:rPr>
              <w:t>”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BBCD" w14:textId="14E19237" w:rsidR="00361CAC" w:rsidRPr="00C7011A" w:rsidRDefault="00361CA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sing</w:t>
            </w:r>
            <w:r w:rsidR="005C50A3">
              <w:rPr>
                <w:rFonts w:ascii="Calibri" w:hAnsi="Calibri" w:cs="Arial"/>
                <w:sz w:val="18"/>
                <w:szCs w:val="18"/>
              </w:rPr>
              <w:t xml:space="preserve">le Guideline on </w:t>
            </w:r>
            <w:proofErr w:type="spellStart"/>
            <w:r w:rsidR="005C50A3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="005C50A3">
              <w:rPr>
                <w:rFonts w:ascii="Calibri" w:hAnsi="Calibri" w:cs="Arial"/>
                <w:sz w:val="18"/>
                <w:szCs w:val="18"/>
              </w:rPr>
              <w:t xml:space="preserve"> in extreme </w:t>
            </w:r>
            <w:r>
              <w:rPr>
                <w:rFonts w:ascii="Calibri" w:hAnsi="Calibri" w:cs="Arial"/>
                <w:sz w:val="18"/>
                <w:szCs w:val="18"/>
              </w:rPr>
              <w:t>environmental conditions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90661D" w14:textId="754833F1" w:rsidR="00361CAC" w:rsidRDefault="00361CA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2AA3AAE" w14:textId="76A89481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99FE61" w14:textId="4A4FE8F3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9C08890" w14:textId="5609A01A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A43AE11" w14:textId="55F2934C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1798D07" w14:textId="1F247D96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2430FE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A7845E1" w14:textId="77777777" w:rsidR="00361CAC" w:rsidRPr="003D2A21" w:rsidRDefault="00361CA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1DBF21" w14:textId="2CB2FCE2" w:rsidR="00361CAC" w:rsidRPr="007C79CE" w:rsidRDefault="005C50A3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140C4D" w:rsidRPr="003D2A21" w14:paraId="464CB809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3ABED17" w14:textId="77777777" w:rsidR="00140C4D" w:rsidRPr="00CE3AF1" w:rsidRDefault="00140C4D" w:rsidP="00140C4D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5B37CF3" w14:textId="7EAE42EA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G1007 ENG Dec 2005 Lighthouse maintenance structural composition, constructions, accommodation facilities and physical and environmental effects.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4ED7" w14:textId="45B4E09E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5682C5" w14:textId="022ED96F" w:rsidR="00140C4D" w:rsidRDefault="00140C4D" w:rsidP="00140C4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DE3924A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E6FE8BD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6407BEC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2DEB75E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52D788C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76862D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A0634BB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B21AF3E" w14:textId="77777777" w:rsidR="00140C4D" w:rsidRPr="007C79CE" w:rsidRDefault="00140C4D" w:rsidP="00140C4D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140C4D" w:rsidRPr="003D2A21" w14:paraId="18AA871C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070A8E1" w14:textId="77777777" w:rsidR="00140C4D" w:rsidRPr="00CE3AF1" w:rsidRDefault="00140C4D" w:rsidP="00140C4D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D0BC423" w14:textId="5A1AADE3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 w:val="18"/>
                <w:szCs w:val="18"/>
              </w:rPr>
              <w:t>G1064 Dec 2008 Integrated power system lanterns (Solar LED lanterns)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B0E" w14:textId="0081824D" w:rsidR="00140C4D" w:rsidRDefault="00140C4D" w:rsidP="00140C4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FC37D8" w14:textId="2B3FC29D" w:rsidR="00140C4D" w:rsidRDefault="00340580" w:rsidP="0034058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  <w:r w:rsidR="005C50A3">
              <w:rPr>
                <w:rFonts w:ascii="Calibri" w:hAnsi="Calibri" w:cs="Arial"/>
                <w:sz w:val="18"/>
                <w:szCs w:val="18"/>
              </w:rPr>
              <w:t>/</w:t>
            </w: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0BF7388E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6416652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5FF1D40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11E257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424DF07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58CC498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5EC5C5" w14:textId="77777777" w:rsidR="00140C4D" w:rsidRPr="003D2A21" w:rsidRDefault="00140C4D" w:rsidP="00140C4D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2D60C80" w14:textId="77777777" w:rsidR="00140C4D" w:rsidRPr="007C79CE" w:rsidRDefault="00140C4D" w:rsidP="00140C4D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4B89500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2BE1F0A7" w14:textId="2388D54E" w:rsidR="005C50A3" w:rsidRPr="003D2A21" w:rsidRDefault="005C50A3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Floating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Aids to Navigation</w:t>
            </w:r>
          </w:p>
        </w:tc>
        <w:tc>
          <w:tcPr>
            <w:tcW w:w="4680" w:type="dxa"/>
            <w:vAlign w:val="center"/>
          </w:tcPr>
          <w:p w14:paraId="15D9F3D0" w14:textId="3E75A4E3" w:rsidR="005C50A3" w:rsidRPr="00FF45E2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E4A68">
              <w:rPr>
                <w:rFonts w:ascii="Calibri" w:hAnsi="Calibri" w:cs="Arial"/>
                <w:sz w:val="18"/>
                <w:szCs w:val="18"/>
              </w:rPr>
              <w:t>Develop guidance quantifying characteristics to meet nautical and operational requirements and ways to verify them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2E6E" w14:textId="43D5A16C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E110D2" w14:textId="5A58262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44F207A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9DE08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5BA9C31" w14:textId="0FEC0313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306C9CA" w14:textId="4E61905C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677F086" w14:textId="3FF5A902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253099E" w14:textId="739F43B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6A4C113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98FC519" w14:textId="19891684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If task not completed before the end of the current extended period 2018-2023</w:t>
            </w:r>
          </w:p>
        </w:tc>
      </w:tr>
      <w:tr w:rsidR="005C50A3" w:rsidRPr="003D2A21" w14:paraId="2D174781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DD13294" w14:textId="77777777" w:rsidR="005C50A3" w:rsidRPr="003D2A21" w:rsidRDefault="005C50A3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8E3D86" w14:textId="42436C29" w:rsidR="005C50A3" w:rsidRPr="00237BBF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Develop new guideline on radar reflector (reflection) properties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E492" w14:textId="10C4C163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  <w:r w:rsidRPr="0030100A">
              <w:rPr>
                <w:rFonts w:ascii="Calibri" w:hAnsi="Calibri" w:cs="Arial"/>
                <w:sz w:val="18"/>
                <w:szCs w:val="18"/>
              </w:rPr>
              <w:t>on radar reflector</w:t>
            </w:r>
            <w:r>
              <w:rPr>
                <w:rFonts w:ascii="Calibri" w:hAnsi="Calibri" w:cs="Arial"/>
                <w:sz w:val="18"/>
                <w:szCs w:val="18"/>
              </w:rPr>
              <w:t>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F72ED" w14:textId="02BC942B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68EFA6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4BE8F65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D8FD23B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18118A5" w14:textId="4A8BB0E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9B4B7C" w14:textId="32C855AE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AB89D9" w14:textId="276D9A61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FD40D5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10B5B2" w14:textId="6844834A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13A6D838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11EF188" w14:textId="77777777" w:rsidR="005C50A3" w:rsidRPr="003D2A21" w:rsidRDefault="005C50A3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24EE29" w14:textId="5725436E" w:rsidR="005C50A3" w:rsidRPr="00FF45E2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Creating an over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view guidance on floating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931" w14:textId="584159B9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on floating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16BD75E3" w14:textId="178CF29E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D604D51" w14:textId="3B872390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283240B" w14:textId="32106F35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0AB182" w14:textId="5FCF62DC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1489747" w14:textId="7216628B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E04A78" w14:textId="7F08078B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95C8F7" w14:textId="6ED86783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4B90BD" w14:textId="628DA3F9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DFC5071" w14:textId="2A177FC6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4893D968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29E518E2" w14:textId="7777777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4F84C80" w14:textId="7593DFA2" w:rsidR="005C50A3" w:rsidRPr="0030100A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Recommendation E-107</w:t>
            </w:r>
            <w:r w:rsidRPr="0030100A">
              <w:rPr>
                <w:rFonts w:ascii="Calibri" w:hAnsi="Calibri" w:cs="Arial"/>
                <w:sz w:val="18"/>
                <w:szCs w:val="18"/>
              </w:rPr>
              <w:t xml:space="preserve"> May 2009 Moorings for floating </w:t>
            </w:r>
            <w:proofErr w:type="spellStart"/>
            <w:r w:rsidRPr="0030100A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30100A">
              <w:rPr>
                <w:rFonts w:ascii="Calibri" w:hAnsi="Calibri" w:cs="Arial"/>
                <w:sz w:val="18"/>
                <w:szCs w:val="18"/>
              </w:rPr>
              <w:t xml:space="preserve"> 2.0 Technical recommendation on moorings.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9F65" w14:textId="338137C5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Updated Recommendation on moorings for floating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713EB7CF" w14:textId="15444556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1E8367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A3BBF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B6FD43D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2E279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1B28AD3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984A3DC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8EF54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7649423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0AED037B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F46F4CC" w14:textId="77777777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2A3544" w14:textId="44F73885" w:rsidR="005C50A3" w:rsidRPr="0030100A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G1066 </w:t>
            </w:r>
            <w:r w:rsidRPr="00A25085">
              <w:rPr>
                <w:rFonts w:ascii="Calibri" w:hAnsi="Calibri" w:cs="Arial"/>
                <w:sz w:val="18"/>
                <w:szCs w:val="18"/>
              </w:rPr>
              <w:t xml:space="preserve">June 2010 Design of floating </w:t>
            </w:r>
            <w:proofErr w:type="spellStart"/>
            <w:r w:rsidRPr="00A25085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A25085">
              <w:rPr>
                <w:rFonts w:ascii="Calibri" w:hAnsi="Calibri" w:cs="Arial"/>
                <w:sz w:val="18"/>
                <w:szCs w:val="18"/>
              </w:rPr>
              <w:t xml:space="preserve"> moorings 1.1 General consideration on mooring materials, and comparison of mooring loads and design.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2E9F" w14:textId="5DE06BCD" w:rsidR="005C50A3" w:rsidRPr="00C7011A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on D</w:t>
            </w:r>
            <w:r w:rsidRPr="00A25085">
              <w:rPr>
                <w:rFonts w:ascii="Calibri" w:hAnsi="Calibri" w:cs="Arial"/>
                <w:sz w:val="18"/>
                <w:szCs w:val="18"/>
              </w:rPr>
              <w:t xml:space="preserve">esign of floating </w:t>
            </w:r>
            <w:proofErr w:type="spellStart"/>
            <w:r w:rsidRPr="00A25085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Pr="00A25085">
              <w:rPr>
                <w:rFonts w:ascii="Calibri" w:hAnsi="Calibri" w:cs="Arial"/>
                <w:sz w:val="18"/>
                <w:szCs w:val="18"/>
              </w:rPr>
              <w:t xml:space="preserve"> moorings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EB5717" w14:textId="7724A59E" w:rsidR="005C50A3" w:rsidRPr="003D2A21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578D236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7255F0C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FBC2BC0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E716C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629D34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E35887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6C210E2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E0E7009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5C50A3" w:rsidRPr="003D2A21" w14:paraId="7DA3E63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Align w:val="center"/>
          </w:tcPr>
          <w:p w14:paraId="5CC09651" w14:textId="3021C21B" w:rsidR="005C50A3" w:rsidRDefault="005C50A3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Environment</w:t>
            </w:r>
            <w:r>
              <w:rPr>
                <w:rFonts w:ascii="Calibri" w:hAnsi="Calibri" w:cs="Arial"/>
                <w:sz w:val="18"/>
                <w:szCs w:val="18"/>
              </w:rPr>
              <w:t xml:space="preserve"> &amp; Sustainability</w:t>
            </w:r>
          </w:p>
        </w:tc>
        <w:tc>
          <w:tcPr>
            <w:tcW w:w="4680" w:type="dxa"/>
            <w:vAlign w:val="center"/>
          </w:tcPr>
          <w:p w14:paraId="635396E9" w14:textId="0F36E392" w:rsidR="005C50A3" w:rsidRDefault="005C50A3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as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necessary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G1036, the Green Guide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1A8" w14:textId="2798ADD5" w:rsidR="005C50A3" w:rsidRDefault="005C50A3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 on Environmental and Sustainability responsibilities.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9C2AEC" w14:textId="2BC13A77" w:rsidR="005C50A3" w:rsidRDefault="005C50A3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9275EC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6ABC5F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C97370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65E4AE1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A6B869B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17E598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1CFA04E" w14:textId="77777777" w:rsidR="005C50A3" w:rsidRPr="003D2A21" w:rsidRDefault="005C50A3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545B0FF" w14:textId="77777777" w:rsidR="005C50A3" w:rsidRPr="007C79CE" w:rsidRDefault="005C50A3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09925EF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 w:val="restart"/>
            <w:vAlign w:val="center"/>
          </w:tcPr>
          <w:p w14:paraId="02C195AB" w14:textId="2FF9B211" w:rsidR="00977E82" w:rsidRPr="00D05822" w:rsidRDefault="00977E82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and Culture</w:t>
            </w:r>
          </w:p>
        </w:tc>
        <w:tc>
          <w:tcPr>
            <w:tcW w:w="4680" w:type="dxa"/>
            <w:vAlign w:val="center"/>
          </w:tcPr>
          <w:p w14:paraId="579772DF" w14:textId="6D129BBA" w:rsidR="00977E82" w:rsidRPr="00CE3AF1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Maintain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Heritage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web page on the IALA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website</w:t>
            </w:r>
            <w:proofErr w:type="spellEnd"/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C63B" w14:textId="16698128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Heritage web page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7A184" w14:textId="5C7C0A66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5CEC4E38" w14:textId="3C83CC21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081B18D" w14:textId="67AB951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856E0D" w14:textId="303E78C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BDBBE11" w14:textId="39C75CC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81767BF" w14:textId="1FDB43DE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F3CE80" w14:textId="65058564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45BC3F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6539C1E" w14:textId="099CF23B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340580" w:rsidRPr="003D2A21" w14:paraId="4559E802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070DD1B9" w14:textId="77777777" w:rsidR="00340580" w:rsidRDefault="00340580" w:rsidP="005C50A3">
            <w:pPr>
              <w:pStyle w:val="Agenda2"/>
              <w:tabs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8336646" w14:textId="20B57521" w:rsidR="00340580" w:rsidRDefault="00340580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Guidance on modern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equipment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in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traditional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lighthouses</w:t>
            </w:r>
            <w:proofErr w:type="spellEnd"/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4A85" w14:textId="7AE4F618" w:rsidR="00340580" w:rsidRDefault="00340580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222A7E9" w14:textId="3CC1FBF1" w:rsidR="00340580" w:rsidRDefault="00340580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6905615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43458F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1D0684D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33E146F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FA2C495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25C8C4D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37F4FB2" w14:textId="77777777" w:rsidR="00340580" w:rsidRPr="003D2A21" w:rsidRDefault="00340580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62144D2" w14:textId="77777777" w:rsidR="00340580" w:rsidRPr="007C79CE" w:rsidRDefault="00340580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E4819E1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7E50FF0A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550BD6" w14:textId="733B6D21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LH of the Year award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C51E" w14:textId="448D6AA3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Maintain the Award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9DE878" w14:textId="1DA7D7B4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38EBEB88" w14:textId="1AAB1A4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B79320" w14:textId="0608CCF2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69420D9" w14:textId="749B5495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CDFBA" w14:textId="78FBF2B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7DFB392" w14:textId="78FF661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F8A914" w14:textId="180E55D4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7B3138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A1BF9BA" w14:textId="2351E6C2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474377D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F15A740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CBE2C46" w14:textId="71E7A1CF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Write the Heritage module for the WWA L1.1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Manager course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542C" w14:textId="10589D56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module on Heritage to include in the L1.1 course.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6ACE30" w14:textId="4B0AD66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2D74D5BD" w14:textId="0F248CA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388661" w14:textId="335641BC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882575" w14:textId="6FEB5CDB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F11DAD7" w14:textId="56FE2C03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051BC9" w14:textId="30FF8E2D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E07B1E7" w14:textId="65A61EFC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840DA7D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B0AB2A6" w14:textId="740457B8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34D4BF29" w14:textId="77777777" w:rsidTr="00977E82">
        <w:trPr>
          <w:gridAfter w:val="2"/>
          <w:wAfter w:w="10100" w:type="dxa"/>
          <w:trHeight w:val="616"/>
        </w:trPr>
        <w:tc>
          <w:tcPr>
            <w:tcW w:w="2894" w:type="dxa"/>
            <w:vMerge/>
            <w:vAlign w:val="center"/>
          </w:tcPr>
          <w:p w14:paraId="64326F05" w14:textId="7777777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DDA09F3" w14:textId="4E21F3DC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of documents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A823" w14:textId="0393B31A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 documents pertinent to heritage reviewed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8B201B" w14:textId="79D0083A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045B7A0A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657706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393ED29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CFDF869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62FCF08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261530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079D84" w14:textId="7777777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A32AAF1" w14:textId="77777777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6F18FD75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69817E30" w14:textId="3A031409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9C28D6B" w14:textId="77777777" w:rsidR="00977E8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 w:val="18"/>
                <w:szCs w:val="18"/>
              </w:rPr>
              <w:t xml:space="preserve">tary use of lighthouse property. </w:t>
            </w:r>
          </w:p>
          <w:p w14:paraId="27D2F817" w14:textId="66C8A082" w:rsidR="00977E82" w:rsidRPr="00CE3AF1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A25085">
              <w:rPr>
                <w:rFonts w:ascii="Calibri" w:hAnsi="Calibri" w:cs="Arial"/>
                <w:sz w:val="18"/>
                <w:szCs w:val="18"/>
              </w:rPr>
              <w:t>What should the agreement contain and safety aspect of the agreement including examples of few countries.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F79" w14:textId="457869FA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4F8BFB" w14:textId="4DF6E87A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EBA1305" w14:textId="5A67B73C" w:rsidR="00977E82" w:rsidRPr="003D2A21" w:rsidRDefault="00977E82" w:rsidP="005C50A3">
            <w:pPr>
              <w:jc w:val="center"/>
            </w:pPr>
          </w:p>
        </w:tc>
        <w:tc>
          <w:tcPr>
            <w:tcW w:w="284" w:type="dxa"/>
            <w:vAlign w:val="center"/>
          </w:tcPr>
          <w:p w14:paraId="537883CD" w14:textId="7777777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653945" w14:textId="4E73A83E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352F830" w14:textId="2724EBB8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1082767" w14:textId="0496C58A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C455B" w14:textId="44B23B39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5D6A9C" w14:textId="46B263FA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CF9F24" w14:textId="1B19C54A" w:rsidR="00977E82" w:rsidRPr="007C79CE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2D9518EC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vAlign w:val="center"/>
          </w:tcPr>
          <w:p w14:paraId="2CC05DBD" w14:textId="77777777" w:rsidR="00977E82" w:rsidRPr="003D2A21" w:rsidRDefault="00977E82" w:rsidP="005C50A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D8F100" w14:textId="7CED7434" w:rsidR="00977E82" w:rsidRPr="00FF45E2" w:rsidRDefault="00977E82" w:rsidP="005C50A3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8EF" w14:textId="4D141928" w:rsidR="00977E82" w:rsidRPr="00C7011A" w:rsidRDefault="00977E82" w:rsidP="005C50A3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6BFD16" w14:textId="3D62FCA7" w:rsidR="00977E82" w:rsidRPr="003D2A21" w:rsidRDefault="00977E82" w:rsidP="005C50A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2&amp;4</w:t>
            </w:r>
          </w:p>
        </w:tc>
        <w:tc>
          <w:tcPr>
            <w:tcW w:w="244" w:type="dxa"/>
            <w:vAlign w:val="center"/>
          </w:tcPr>
          <w:p w14:paraId="7ED8FAAC" w14:textId="75E9B185" w:rsidR="00977E82" w:rsidRPr="002072E7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51595D6" w14:textId="0F817EC9" w:rsidR="00977E82" w:rsidRPr="002072E7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8222E9A" w14:textId="7740E441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628717" w14:textId="75EBEF1B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53939" w14:textId="33D46322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CD11E91" w14:textId="47341347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D8E78DF" w14:textId="23246B46" w:rsidR="00977E82" w:rsidRPr="003D2A21" w:rsidRDefault="00977E82" w:rsidP="005C50A3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DBFAE79" w14:textId="77777777" w:rsidR="00977E82" w:rsidRPr="003D2A21" w:rsidRDefault="00977E82" w:rsidP="005C50A3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3D2A21" w14:paraId="73BF5A9E" w14:textId="77777777" w:rsidTr="00977E82">
        <w:trPr>
          <w:gridAfter w:val="2"/>
          <w:wAfter w:w="10100" w:type="dxa"/>
        </w:trPr>
        <w:tc>
          <w:tcPr>
            <w:tcW w:w="2894" w:type="dxa"/>
            <w:vAlign w:val="center"/>
          </w:tcPr>
          <w:p w14:paraId="1C53412A" w14:textId="0A412015" w:rsidR="00977E82" w:rsidRPr="003D2A21" w:rsidRDefault="00977E82" w:rsidP="00977E82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5C50A3">
              <w:rPr>
                <w:rFonts w:ascii="Calibri" w:hAnsi="Calibri"/>
                <w:sz w:val="18"/>
                <w:szCs w:val="18"/>
              </w:rPr>
              <w:t>Power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 systems</w:t>
            </w:r>
          </w:p>
        </w:tc>
        <w:tc>
          <w:tcPr>
            <w:tcW w:w="4680" w:type="dxa"/>
            <w:vAlign w:val="center"/>
          </w:tcPr>
          <w:p w14:paraId="40F7BAFB" w14:textId="178CE7A7" w:rsidR="00977E82" w:rsidRDefault="00977E82" w:rsidP="006400BE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237BBF">
              <w:rPr>
                <w:rFonts w:ascii="Calibri" w:hAnsi="Calibri" w:cs="Arial"/>
                <w:sz w:val="18"/>
                <w:szCs w:val="18"/>
              </w:rPr>
              <w:t xml:space="preserve">Deliver a Workshop </w:t>
            </w:r>
            <w:r w:rsidR="006400BE">
              <w:rPr>
                <w:rFonts w:ascii="Calibri" w:hAnsi="Calibri" w:cs="Arial"/>
                <w:sz w:val="18"/>
                <w:szCs w:val="18"/>
              </w:rPr>
              <w:t xml:space="preserve">on </w:t>
            </w:r>
            <w:proofErr w:type="spellStart"/>
            <w:r w:rsidR="006400BE">
              <w:rPr>
                <w:rFonts w:ascii="Calibri" w:hAnsi="Calibri" w:cs="Arial"/>
                <w:sz w:val="18"/>
                <w:szCs w:val="18"/>
              </w:rPr>
              <w:t>AtoN</w:t>
            </w:r>
            <w:proofErr w:type="spellEnd"/>
            <w:r w:rsidR="006400BE">
              <w:rPr>
                <w:rFonts w:ascii="Calibri" w:hAnsi="Calibri" w:cs="Arial"/>
                <w:sz w:val="18"/>
                <w:szCs w:val="18"/>
              </w:rPr>
              <w:t xml:space="preserve"> Engineering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F709" w14:textId="4B0A3B25" w:rsidR="00977E82" w:rsidRDefault="00977E82" w:rsidP="00977E82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C7011A">
              <w:rPr>
                <w:rFonts w:ascii="Calibri" w:hAnsi="Calibri" w:cs="Arial"/>
                <w:sz w:val="18"/>
                <w:szCs w:val="18"/>
              </w:rPr>
              <w:t>Workshop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42E1BE4" w14:textId="045918A6" w:rsidR="00977E82" w:rsidRDefault="006400BE" w:rsidP="00977E82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17F0CAFA" w14:textId="77777777" w:rsidR="00977E82" w:rsidRPr="002072E7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BA7A7CC" w14:textId="77777777" w:rsidR="00977E82" w:rsidRPr="002072E7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9DD01D2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E9B9E6B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319537F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DA52D3D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4C571E7" w14:textId="77777777" w:rsidR="00977E82" w:rsidRPr="003D2A21" w:rsidRDefault="00977E82" w:rsidP="00977E82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AF5E3E" w14:textId="77777777" w:rsidR="00977E82" w:rsidRPr="003D2A21" w:rsidRDefault="00977E82" w:rsidP="00977E82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977E82" w:rsidRPr="00A93F79" w14:paraId="742E94DE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69EE4088" w14:textId="480E6F47" w:rsidR="00977E82" w:rsidRPr="007107F9" w:rsidRDefault="00977E82" w:rsidP="00977E82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103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Radionavigation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services</w:t>
            </w:r>
          </w:p>
        </w:tc>
      </w:tr>
      <w:tr w:rsidR="00DB147C" w:rsidRPr="00A93F79" w14:paraId="3028BF1F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757867" w14:textId="2D92F8EC" w:rsidR="00DB147C" w:rsidRPr="0092702F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Satellite positioning and timing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8F782" w14:textId="321F02A8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Guidance on timing and synchronisation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5C2C3E" w14:textId="6AB5C2F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the need and potential solutions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9FD38" w14:textId="5A057910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43E1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FA02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0965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3959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A3F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8B8E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9BB1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3EB97BA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F0077DB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97EABC" w14:textId="491E08C8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 xml:space="preserve">Terrestrial positioning and timing (including </w:t>
            </w:r>
            <w:proofErr w:type="spellStart"/>
            <w:r w:rsidRPr="0092702F">
              <w:rPr>
                <w:rFonts w:ascii="Calibri" w:hAnsi="Calibri"/>
                <w:sz w:val="18"/>
                <w:szCs w:val="18"/>
              </w:rPr>
              <w:t>eLoran</w:t>
            </w:r>
            <w:proofErr w:type="spellEnd"/>
            <w:r w:rsidRPr="0092702F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0D5A4F">
              <w:rPr>
                <w:rFonts w:ascii="Calibri" w:hAnsi="Calibri"/>
                <w:noProof/>
                <w:sz w:val="18"/>
                <w:szCs w:val="18"/>
              </w:rPr>
              <w:t>eChayka</w:t>
            </w:r>
            <w:r w:rsidRPr="0092702F">
              <w:rPr>
                <w:rFonts w:ascii="Calibri" w:hAnsi="Calibri"/>
                <w:sz w:val="18"/>
                <w:szCs w:val="18"/>
              </w:rPr>
              <w:t>, R-mode)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52B6D" w14:textId="282ED95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R-Mode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development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558107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Development of R-Mode Guideline</w:t>
            </w:r>
          </w:p>
          <w:p w14:paraId="282FDBA0" w14:textId="7343C4E1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Coordination of R-Mode test beds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95999" w14:textId="09E4D5B1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F1F9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E77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EF91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52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D4C5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78F1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8154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9F53508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51650789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BFE652" w14:textId="2043BE8B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92702F">
              <w:rPr>
                <w:rFonts w:ascii="Calibri" w:hAnsi="Calibri"/>
                <w:sz w:val="18"/>
                <w:szCs w:val="18"/>
              </w:rPr>
              <w:t>Racon</w:t>
            </w:r>
            <w:proofErr w:type="spellEnd"/>
            <w:r w:rsidRPr="0092702F">
              <w:rPr>
                <w:rFonts w:ascii="Calibri" w:hAnsi="Calibri"/>
                <w:sz w:val="18"/>
                <w:szCs w:val="18"/>
              </w:rPr>
              <w:t xml:space="preserve"> &amp; radar positioning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3AD5C" w14:textId="1DDD3BC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Radar &amp;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Ehanced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Racon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positioning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BF612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Development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eRadar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technology</w:t>
            </w:r>
          </w:p>
          <w:p w14:paraId="104E6689" w14:textId="3C2BFF22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related IALA documents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04D85" w14:textId="7EE79915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AA03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0261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2BD6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682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0EE0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283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E213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135C2786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0C259F58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117F7E" w14:textId="61F1A4D3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Augmentation services (SBAS &amp; DGNSS)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4FAC9" w14:textId="356BE05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Augmentation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5CE28" w14:textId="06891CD5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DGNSS developments, both SBAS and marine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Radiobeacon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and update IALA documents as necessary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2A5E7" w14:textId="77777777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372CD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7DAD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748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D28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39E8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6E1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C77E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4402704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22E608B2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2797A8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F1ECBC" w14:textId="28B9B19F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High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accuracy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3C6EF" w14:textId="76DFF74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Guidance on new systems and how they can be used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38230" w14:textId="091F3D50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62A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ED52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158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BC10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803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3D18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A3BE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337E8AD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1426EFC1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AD234B" w14:textId="0E4D13B0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lastRenderedPageBreak/>
              <w:t>Document updates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2FAE50" w14:textId="5E6CC54D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the WWRNP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3F2A7F" w14:textId="0DDA0FF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Reissued WWRNP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E3881" w14:textId="01A2326C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A9C0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1B43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B170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FC6E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E77D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55F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A5BD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0E24968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5908BFC4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EC7920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F87CE" w14:textId="54DCB0E6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updates of documents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related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to the WG topics.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9D91B" w14:textId="317B39E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Recommendations and standards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B09B" w14:textId="5F691E4B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154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C39D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95A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EBEC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9A3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78DC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6335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09BEE10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691EC39F" w14:textId="77777777" w:rsidTr="00977E82">
        <w:trPr>
          <w:gridAfter w:val="2"/>
          <w:wAfter w:w="10100" w:type="dxa"/>
        </w:trPr>
        <w:tc>
          <w:tcPr>
            <w:tcW w:w="289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8AA104" w14:textId="3DF90308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Liaison with related bodies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FDB9E" w14:textId="3CE8794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MASS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overview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8E29D" w14:textId="3D815BC8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MASS developments and support for the PAP MASS task Group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A6CF1" w14:textId="26AAC9F8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20D1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D771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E5C4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44F1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F99C8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B6B6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3BE1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7B014E7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C1D8A2A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72B999" w14:textId="6852F6FD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6F826" w14:textId="7657BFDA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S100 – S200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AB447" w14:textId="1F681751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S-200 developments and response to any developments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2E5FB" w14:textId="7753417C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8E06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E4C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25F8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77D83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6B84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90DC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37BA5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71AB1A51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D064462" w14:textId="77777777" w:rsidTr="00977E82">
        <w:trPr>
          <w:gridAfter w:val="2"/>
          <w:wAfter w:w="10100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9237CB" w14:textId="77777777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35842" w14:textId="6C0D5DE0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Liaison with related bodies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0DE34D" w14:textId="57D7490B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Provide updates as needed, e.g. to ITU-R M.823 and others as required.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5B640" w14:textId="791A0FC6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D6E5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F0F8B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41EB7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1670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BD3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01B5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56DBC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8EFA7D3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0F4C11F5" w14:textId="77777777" w:rsidTr="00977E82">
        <w:trPr>
          <w:gridAfter w:val="2"/>
          <w:wAfter w:w="10100" w:type="dxa"/>
        </w:trPr>
        <w:tc>
          <w:tcPr>
            <w:tcW w:w="28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8FC4DC" w14:textId="51DA24AC" w:rsidR="00DB147C" w:rsidRPr="00A93F79" w:rsidRDefault="00DB147C" w:rsidP="00DB147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92702F">
              <w:rPr>
                <w:rFonts w:ascii="Calibri" w:hAnsi="Calibri"/>
                <w:sz w:val="18"/>
                <w:szCs w:val="18"/>
              </w:rPr>
              <w:t>PNT technology review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FFD98" w14:textId="7F5C58AB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Monitor developments in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radionavigation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topics for information exchange and development of appropriate guidance (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inc.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resilient PNT, cyber security, timing aspects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etc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).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0899B" w14:textId="14C2A5F7" w:rsidR="00DB147C" w:rsidRDefault="00DB147C" w:rsidP="00DB147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Rapporteur reports and new documents as required.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1BF3E6" w14:textId="0A65A25E" w:rsidR="00DB147C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88A4F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C4AE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C01BA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B3774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B32C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81419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DD12" w14:textId="7777777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1A88DB26" w14:textId="77777777" w:rsidR="00DB147C" w:rsidRPr="00A93F79" w:rsidRDefault="00DB147C" w:rsidP="00DB147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DB147C" w:rsidRPr="00A93F79" w14:paraId="4BE82E6B" w14:textId="77777777" w:rsidTr="00977E82"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F37CDF" w14:textId="77777777" w:rsidR="00DB147C" w:rsidRPr="007107F9" w:rsidRDefault="00DB147C" w:rsidP="00DB147C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1050 Training and Certification</w:t>
            </w:r>
          </w:p>
        </w:tc>
        <w:tc>
          <w:tcPr>
            <w:tcW w:w="7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6275" w14:textId="77777777" w:rsidR="00DB147C" w:rsidRDefault="00DB147C" w:rsidP="00DB1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00E7A" w14:textId="77777777" w:rsidR="00DB147C" w:rsidRDefault="00DB147C" w:rsidP="00DB147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Information exchange</w:t>
            </w:r>
          </w:p>
        </w:tc>
      </w:tr>
      <w:tr w:rsidR="00DB147C" w:rsidRPr="00A93F79" w14:paraId="0C602928" w14:textId="77777777" w:rsidTr="00977E82">
        <w:trPr>
          <w:gridAfter w:val="2"/>
          <w:wAfter w:w="10100" w:type="dxa"/>
          <w:trHeight w:val="332"/>
        </w:trPr>
        <w:tc>
          <w:tcPr>
            <w:tcW w:w="2894" w:type="dxa"/>
            <w:vAlign w:val="center"/>
          </w:tcPr>
          <w:p w14:paraId="25499F61" w14:textId="61FA90C0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742448" w14:textId="1C753025" w:rsidR="00DB147C" w:rsidRPr="00CB7E6B" w:rsidRDefault="00DB147C" w:rsidP="00DB147C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WWA Lesson plans to review</w:t>
            </w:r>
          </w:p>
        </w:tc>
        <w:tc>
          <w:tcPr>
            <w:tcW w:w="3804" w:type="dxa"/>
            <w:vAlign w:val="center"/>
          </w:tcPr>
          <w:p w14:paraId="46A0A20B" w14:textId="56C4B955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updating of the WWA Lesson plans as requested by the Academy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754934" w14:textId="2ACCCA60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D86151F" w14:textId="78336BE1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BE5402C" w14:textId="332D9ED7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4DB9FD7" w14:textId="61E89875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88FDC5D" w14:textId="7D69E0F8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05ACC9" w14:textId="2BE4A3BA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EC25C0F" w14:textId="7B41F1C2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527866" w14:textId="56970905" w:rsidR="00DB147C" w:rsidRPr="00A93F79" w:rsidRDefault="00DB147C" w:rsidP="00DB147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3E1E6CE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147C" w:rsidRPr="00A93F79" w14:paraId="48DE20DC" w14:textId="77777777" w:rsidTr="00977E82">
        <w:trPr>
          <w:gridAfter w:val="2"/>
          <w:wAfter w:w="10100" w:type="dxa"/>
        </w:trPr>
        <w:tc>
          <w:tcPr>
            <w:tcW w:w="14734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47F0B37" w14:textId="10A23EC5" w:rsidR="00DB147C" w:rsidRPr="007107F9" w:rsidRDefault="00DB147C" w:rsidP="00DB147C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1060 Digital communication technologies</w:t>
            </w:r>
          </w:p>
        </w:tc>
      </w:tr>
    </w:tbl>
    <w:tbl>
      <w:tblPr>
        <w:tblStyle w:val="TableGrid1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DB147C" w:rsidRPr="00A93F79" w14:paraId="5511EDF0" w14:textId="77777777" w:rsidTr="0081040F"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09023482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34A50CEF" w14:textId="5254DE3E" w:rsidR="00DB147C" w:rsidRPr="00237BBF" w:rsidRDefault="00DB147C" w:rsidP="00DB147C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 xml:space="preserve">08 </w:t>
            </w:r>
            <w:r w:rsidRPr="009B38C9">
              <w:rPr>
                <w:rFonts w:ascii="Calibri" w:hAnsi="Calibri" w:cs="Arial"/>
                <w:sz w:val="18"/>
                <w:szCs w:val="18"/>
              </w:rPr>
              <w:t>May 2009 Remote control and monitoring of AtoN 2.0 Objectives of remote control and monitoring, and technical aspects such as communication links, display, maintenance and integration with other systems.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3AEDFF05" w14:textId="5E48CF79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 Guideline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575D469F" w14:textId="5838F43C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06B1981" w14:textId="77777777" w:rsidR="00DB147C" w:rsidRPr="0020762D" w:rsidRDefault="00DB147C" w:rsidP="00DB147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7BE383E" w14:textId="77777777" w:rsidR="00DB147C" w:rsidRPr="0020762D" w:rsidRDefault="00DB147C" w:rsidP="00DB14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78055D9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16A4FEF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6893F18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A464932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572D5F7" w14:textId="77777777" w:rsidR="00DB147C" w:rsidRPr="0020762D" w:rsidRDefault="00DB147C" w:rsidP="00DB147C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1870D32" w14:textId="77777777" w:rsidR="00DB147C" w:rsidRPr="00A93F79" w:rsidRDefault="00DB147C" w:rsidP="00DB147C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E5C5BBD" w14:textId="77777777"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3C6A37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424E9" w14:textId="77777777" w:rsidR="00102697" w:rsidRDefault="00102697" w:rsidP="00265694">
      <w:pPr>
        <w:spacing w:after="0" w:line="240" w:lineRule="auto"/>
      </w:pPr>
      <w:r>
        <w:separator/>
      </w:r>
    </w:p>
  </w:endnote>
  <w:endnote w:type="continuationSeparator" w:id="0">
    <w:p w14:paraId="56A250CF" w14:textId="77777777" w:rsidR="00102697" w:rsidRDefault="00102697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2FD7C" w14:textId="7119E17E" w:rsidR="007C79CE" w:rsidRDefault="007C79CE">
    <w:pPr>
      <w:pStyle w:val="Pieddepage"/>
    </w:pPr>
    <w:r>
      <w:t>ENG</w:t>
    </w:r>
    <w:r w:rsidRPr="00A628AC">
      <w:t xml:space="preserve"> Committee – </w:t>
    </w:r>
    <w:r>
      <w:t>Task</w:t>
    </w:r>
    <w:r w:rsidRPr="00A628AC">
      <w:t xml:space="preserve"> Plan </w:t>
    </w:r>
    <w:r w:rsidR="002C3935">
      <w:t xml:space="preserve">DRAFT </w:t>
    </w:r>
    <w:r w:rsidRPr="00A628AC">
      <w:t>20</w:t>
    </w:r>
    <w:r>
      <w:t>2</w:t>
    </w:r>
    <w:r w:rsidR="00252F1E">
      <w:t>3 - 2027</w:t>
    </w:r>
  </w:p>
  <w:p w14:paraId="45A37230" w14:textId="77777777" w:rsidR="007C79CE" w:rsidRDefault="007C79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295F8" w14:textId="77777777" w:rsidR="00102697" w:rsidRDefault="00102697" w:rsidP="00265694">
      <w:pPr>
        <w:spacing w:after="0" w:line="240" w:lineRule="auto"/>
      </w:pPr>
      <w:r>
        <w:separator/>
      </w:r>
    </w:p>
  </w:footnote>
  <w:footnote w:type="continuationSeparator" w:id="0">
    <w:p w14:paraId="5524F9CD" w14:textId="77777777" w:rsidR="00102697" w:rsidRDefault="00102697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6A69" w14:textId="570C94E6" w:rsidR="007C79CE" w:rsidRDefault="00102697">
    <w:pPr>
      <w:pStyle w:val="En-tte"/>
    </w:pPr>
    <w:r>
      <w:rPr>
        <w:noProof/>
      </w:rPr>
      <w:pict w14:anchorId="1AEB7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6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0A56F" w14:textId="29043A5D" w:rsidR="007C79CE" w:rsidRPr="00A628AC" w:rsidRDefault="00102697" w:rsidP="00A628AC">
    <w:pPr>
      <w:pStyle w:val="En-tte"/>
      <w:wordWrap w:val="0"/>
      <w:jc w:val="right"/>
      <w:rPr>
        <w:lang w:eastAsia="ja-JP"/>
      </w:rPr>
    </w:pPr>
    <w:r>
      <w:rPr>
        <w:noProof/>
      </w:rPr>
      <w:pict w14:anchorId="2FC5E6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7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79CE"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68C24234" wp14:editId="7F72AE89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C0CA" w14:textId="4E3029A2" w:rsidR="007C79CE" w:rsidRDefault="00102697">
    <w:pPr>
      <w:pStyle w:val="En-tte"/>
    </w:pPr>
    <w:r>
      <w:rPr>
        <w:noProof/>
      </w:rPr>
      <w:pict w14:anchorId="6FBA0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5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0"/>
  <w:activeWritingStyle w:appName="MSWord" w:lang="en-IE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MDQ2szQzNDc2MDdX0lEKTi0uzszPAykwrgUAWnu39ywAAAA="/>
  </w:docVars>
  <w:rsids>
    <w:rsidRoot w:val="0054630B"/>
    <w:rsid w:val="0000037E"/>
    <w:rsid w:val="00010CE5"/>
    <w:rsid w:val="00014383"/>
    <w:rsid w:val="00021F66"/>
    <w:rsid w:val="000367EA"/>
    <w:rsid w:val="00041A24"/>
    <w:rsid w:val="000465C7"/>
    <w:rsid w:val="00046687"/>
    <w:rsid w:val="00046AB8"/>
    <w:rsid w:val="000508ED"/>
    <w:rsid w:val="00052CD4"/>
    <w:rsid w:val="0005611D"/>
    <w:rsid w:val="000635C6"/>
    <w:rsid w:val="00063C4E"/>
    <w:rsid w:val="000667D0"/>
    <w:rsid w:val="00074D6D"/>
    <w:rsid w:val="000936D7"/>
    <w:rsid w:val="00095935"/>
    <w:rsid w:val="00095E25"/>
    <w:rsid w:val="000A3B0D"/>
    <w:rsid w:val="000B4137"/>
    <w:rsid w:val="000B47B2"/>
    <w:rsid w:val="000B6F98"/>
    <w:rsid w:val="000B7DCF"/>
    <w:rsid w:val="000C4AD6"/>
    <w:rsid w:val="000C7579"/>
    <w:rsid w:val="000D0024"/>
    <w:rsid w:val="000D1CD2"/>
    <w:rsid w:val="000D3A7A"/>
    <w:rsid w:val="000D3AF5"/>
    <w:rsid w:val="000D3C76"/>
    <w:rsid w:val="000D5930"/>
    <w:rsid w:val="000D5A4F"/>
    <w:rsid w:val="000F55A0"/>
    <w:rsid w:val="000F6B1B"/>
    <w:rsid w:val="00101DBF"/>
    <w:rsid w:val="00102697"/>
    <w:rsid w:val="00127CB7"/>
    <w:rsid w:val="00131115"/>
    <w:rsid w:val="00140C4D"/>
    <w:rsid w:val="0015354A"/>
    <w:rsid w:val="00157853"/>
    <w:rsid w:val="001611B5"/>
    <w:rsid w:val="00162137"/>
    <w:rsid w:val="00163917"/>
    <w:rsid w:val="00167E50"/>
    <w:rsid w:val="001708F0"/>
    <w:rsid w:val="00172492"/>
    <w:rsid w:val="001739A2"/>
    <w:rsid w:val="00173C8B"/>
    <w:rsid w:val="00180A9F"/>
    <w:rsid w:val="00181617"/>
    <w:rsid w:val="001A178E"/>
    <w:rsid w:val="001A5B3B"/>
    <w:rsid w:val="001A5C32"/>
    <w:rsid w:val="001A5DBF"/>
    <w:rsid w:val="001A78FF"/>
    <w:rsid w:val="001B59D9"/>
    <w:rsid w:val="001C2002"/>
    <w:rsid w:val="001C4E17"/>
    <w:rsid w:val="001C5825"/>
    <w:rsid w:val="001E07C1"/>
    <w:rsid w:val="001E6123"/>
    <w:rsid w:val="001E7FD1"/>
    <w:rsid w:val="001F4415"/>
    <w:rsid w:val="001F728E"/>
    <w:rsid w:val="002072E7"/>
    <w:rsid w:val="0020762D"/>
    <w:rsid w:val="00212899"/>
    <w:rsid w:val="00222E59"/>
    <w:rsid w:val="002278CA"/>
    <w:rsid w:val="00235AFD"/>
    <w:rsid w:val="00237172"/>
    <w:rsid w:val="00237BBF"/>
    <w:rsid w:val="00252F1E"/>
    <w:rsid w:val="002544D6"/>
    <w:rsid w:val="0025468A"/>
    <w:rsid w:val="00260167"/>
    <w:rsid w:val="00265694"/>
    <w:rsid w:val="00267C31"/>
    <w:rsid w:val="00271BE9"/>
    <w:rsid w:val="00273F12"/>
    <w:rsid w:val="00274466"/>
    <w:rsid w:val="00277634"/>
    <w:rsid w:val="002806FE"/>
    <w:rsid w:val="0028724F"/>
    <w:rsid w:val="002905BC"/>
    <w:rsid w:val="002920DB"/>
    <w:rsid w:val="00293779"/>
    <w:rsid w:val="002A6CC2"/>
    <w:rsid w:val="002B31B8"/>
    <w:rsid w:val="002C1FA3"/>
    <w:rsid w:val="002C3935"/>
    <w:rsid w:val="002C3AB7"/>
    <w:rsid w:val="002C6887"/>
    <w:rsid w:val="002C7912"/>
    <w:rsid w:val="002D04B4"/>
    <w:rsid w:val="002D0DEC"/>
    <w:rsid w:val="002D72D4"/>
    <w:rsid w:val="002E4AEF"/>
    <w:rsid w:val="002E4C1F"/>
    <w:rsid w:val="002E640B"/>
    <w:rsid w:val="002E6ABC"/>
    <w:rsid w:val="002E7019"/>
    <w:rsid w:val="002F00A9"/>
    <w:rsid w:val="00301F20"/>
    <w:rsid w:val="003102A7"/>
    <w:rsid w:val="003133FC"/>
    <w:rsid w:val="00315A19"/>
    <w:rsid w:val="003170C5"/>
    <w:rsid w:val="003276F1"/>
    <w:rsid w:val="00340580"/>
    <w:rsid w:val="00343557"/>
    <w:rsid w:val="00344FFE"/>
    <w:rsid w:val="0034551A"/>
    <w:rsid w:val="00346515"/>
    <w:rsid w:val="00357082"/>
    <w:rsid w:val="00361CAC"/>
    <w:rsid w:val="003646AD"/>
    <w:rsid w:val="003675A2"/>
    <w:rsid w:val="0037317B"/>
    <w:rsid w:val="00377D5E"/>
    <w:rsid w:val="0038145B"/>
    <w:rsid w:val="003831BF"/>
    <w:rsid w:val="003862F3"/>
    <w:rsid w:val="00390D0F"/>
    <w:rsid w:val="003913A9"/>
    <w:rsid w:val="003A0EBF"/>
    <w:rsid w:val="003A255C"/>
    <w:rsid w:val="003A6D5F"/>
    <w:rsid w:val="003B13A4"/>
    <w:rsid w:val="003B6615"/>
    <w:rsid w:val="003C6A37"/>
    <w:rsid w:val="003C6D95"/>
    <w:rsid w:val="003C6F63"/>
    <w:rsid w:val="003C78EB"/>
    <w:rsid w:val="003D158D"/>
    <w:rsid w:val="003D1CFD"/>
    <w:rsid w:val="003D2A21"/>
    <w:rsid w:val="003D3638"/>
    <w:rsid w:val="003E2EFC"/>
    <w:rsid w:val="003E351D"/>
    <w:rsid w:val="003E58B0"/>
    <w:rsid w:val="003F0715"/>
    <w:rsid w:val="003F2557"/>
    <w:rsid w:val="00400955"/>
    <w:rsid w:val="0040224F"/>
    <w:rsid w:val="00405059"/>
    <w:rsid w:val="00406DBE"/>
    <w:rsid w:val="00414B36"/>
    <w:rsid w:val="00415491"/>
    <w:rsid w:val="00415DA7"/>
    <w:rsid w:val="00432851"/>
    <w:rsid w:val="004330AB"/>
    <w:rsid w:val="00445FD9"/>
    <w:rsid w:val="0044782C"/>
    <w:rsid w:val="00450534"/>
    <w:rsid w:val="00453711"/>
    <w:rsid w:val="00454EA3"/>
    <w:rsid w:val="0046219E"/>
    <w:rsid w:val="00465712"/>
    <w:rsid w:val="0046612B"/>
    <w:rsid w:val="00466C01"/>
    <w:rsid w:val="00470F5A"/>
    <w:rsid w:val="00471EEA"/>
    <w:rsid w:val="004731C9"/>
    <w:rsid w:val="004734D0"/>
    <w:rsid w:val="00475B20"/>
    <w:rsid w:val="00487777"/>
    <w:rsid w:val="00490603"/>
    <w:rsid w:val="0049098C"/>
    <w:rsid w:val="0049528B"/>
    <w:rsid w:val="004A4EAD"/>
    <w:rsid w:val="004B28F6"/>
    <w:rsid w:val="004B432C"/>
    <w:rsid w:val="004E0841"/>
    <w:rsid w:val="004E3C23"/>
    <w:rsid w:val="004F10E6"/>
    <w:rsid w:val="004F2566"/>
    <w:rsid w:val="004F2B94"/>
    <w:rsid w:val="004F5AA7"/>
    <w:rsid w:val="004F7896"/>
    <w:rsid w:val="0050292B"/>
    <w:rsid w:val="0050353C"/>
    <w:rsid w:val="005057CB"/>
    <w:rsid w:val="0050613B"/>
    <w:rsid w:val="00510CCD"/>
    <w:rsid w:val="00511C4C"/>
    <w:rsid w:val="00511FAA"/>
    <w:rsid w:val="00513338"/>
    <w:rsid w:val="00513D97"/>
    <w:rsid w:val="00516888"/>
    <w:rsid w:val="00517576"/>
    <w:rsid w:val="00530340"/>
    <w:rsid w:val="00533AD8"/>
    <w:rsid w:val="00534389"/>
    <w:rsid w:val="00536390"/>
    <w:rsid w:val="00540D65"/>
    <w:rsid w:val="0054630B"/>
    <w:rsid w:val="00552792"/>
    <w:rsid w:val="00555677"/>
    <w:rsid w:val="0056017D"/>
    <w:rsid w:val="0056162D"/>
    <w:rsid w:val="0056416E"/>
    <w:rsid w:val="00571A03"/>
    <w:rsid w:val="005814EC"/>
    <w:rsid w:val="00594429"/>
    <w:rsid w:val="005951AD"/>
    <w:rsid w:val="005C2AC8"/>
    <w:rsid w:val="005C50A3"/>
    <w:rsid w:val="005C778D"/>
    <w:rsid w:val="005D4945"/>
    <w:rsid w:val="005E5616"/>
    <w:rsid w:val="005F65E4"/>
    <w:rsid w:val="005F75C9"/>
    <w:rsid w:val="00607671"/>
    <w:rsid w:val="006140CA"/>
    <w:rsid w:val="006154CB"/>
    <w:rsid w:val="00617251"/>
    <w:rsid w:val="00620FBB"/>
    <w:rsid w:val="00621F21"/>
    <w:rsid w:val="00625CC9"/>
    <w:rsid w:val="00626B73"/>
    <w:rsid w:val="006307FC"/>
    <w:rsid w:val="00633B70"/>
    <w:rsid w:val="00636340"/>
    <w:rsid w:val="006400BE"/>
    <w:rsid w:val="00642069"/>
    <w:rsid w:val="006455D1"/>
    <w:rsid w:val="006464CA"/>
    <w:rsid w:val="0065087C"/>
    <w:rsid w:val="00656CFB"/>
    <w:rsid w:val="00657A63"/>
    <w:rsid w:val="00667CB7"/>
    <w:rsid w:val="00672721"/>
    <w:rsid w:val="00677E3F"/>
    <w:rsid w:val="0068304A"/>
    <w:rsid w:val="00684CE2"/>
    <w:rsid w:val="00686914"/>
    <w:rsid w:val="00686C99"/>
    <w:rsid w:val="00692D5D"/>
    <w:rsid w:val="00693539"/>
    <w:rsid w:val="006A4D5B"/>
    <w:rsid w:val="006A64AD"/>
    <w:rsid w:val="006B3B2A"/>
    <w:rsid w:val="006B4DB7"/>
    <w:rsid w:val="006B721F"/>
    <w:rsid w:val="006C0D29"/>
    <w:rsid w:val="006C4A5F"/>
    <w:rsid w:val="006D4ADF"/>
    <w:rsid w:val="006D551A"/>
    <w:rsid w:val="006D601B"/>
    <w:rsid w:val="006E7500"/>
    <w:rsid w:val="006E7B9A"/>
    <w:rsid w:val="006F09ED"/>
    <w:rsid w:val="006F24C4"/>
    <w:rsid w:val="006F5137"/>
    <w:rsid w:val="006F5F2B"/>
    <w:rsid w:val="007107F9"/>
    <w:rsid w:val="0072010E"/>
    <w:rsid w:val="007235F7"/>
    <w:rsid w:val="00723DA3"/>
    <w:rsid w:val="0072572F"/>
    <w:rsid w:val="00735701"/>
    <w:rsid w:val="00741E0D"/>
    <w:rsid w:val="0074534A"/>
    <w:rsid w:val="00751440"/>
    <w:rsid w:val="007541FE"/>
    <w:rsid w:val="007560BF"/>
    <w:rsid w:val="007619DE"/>
    <w:rsid w:val="00764BDB"/>
    <w:rsid w:val="00767388"/>
    <w:rsid w:val="00770ABF"/>
    <w:rsid w:val="007729C1"/>
    <w:rsid w:val="00774496"/>
    <w:rsid w:val="0077538C"/>
    <w:rsid w:val="00796866"/>
    <w:rsid w:val="007A7789"/>
    <w:rsid w:val="007B25F5"/>
    <w:rsid w:val="007B27AA"/>
    <w:rsid w:val="007B3D32"/>
    <w:rsid w:val="007C50BA"/>
    <w:rsid w:val="007C79CE"/>
    <w:rsid w:val="007D223E"/>
    <w:rsid w:val="007D3AC0"/>
    <w:rsid w:val="007D5B4E"/>
    <w:rsid w:val="007D5CA3"/>
    <w:rsid w:val="007D6861"/>
    <w:rsid w:val="007F1B58"/>
    <w:rsid w:val="007F32F6"/>
    <w:rsid w:val="007F339A"/>
    <w:rsid w:val="007F5EC2"/>
    <w:rsid w:val="008052E8"/>
    <w:rsid w:val="0081040F"/>
    <w:rsid w:val="0081765B"/>
    <w:rsid w:val="00817D09"/>
    <w:rsid w:val="0082055D"/>
    <w:rsid w:val="00823518"/>
    <w:rsid w:val="008246D9"/>
    <w:rsid w:val="008270E5"/>
    <w:rsid w:val="00836695"/>
    <w:rsid w:val="00836C10"/>
    <w:rsid w:val="008378A9"/>
    <w:rsid w:val="00842195"/>
    <w:rsid w:val="00843FD8"/>
    <w:rsid w:val="00845E2A"/>
    <w:rsid w:val="00850717"/>
    <w:rsid w:val="00856FEC"/>
    <w:rsid w:val="008651DB"/>
    <w:rsid w:val="00894D4E"/>
    <w:rsid w:val="00895291"/>
    <w:rsid w:val="0089545B"/>
    <w:rsid w:val="0089795A"/>
    <w:rsid w:val="008B16DA"/>
    <w:rsid w:val="008B64A1"/>
    <w:rsid w:val="008B7EB3"/>
    <w:rsid w:val="008C0BDC"/>
    <w:rsid w:val="008D1868"/>
    <w:rsid w:val="008D6363"/>
    <w:rsid w:val="008E4205"/>
    <w:rsid w:val="008E53B3"/>
    <w:rsid w:val="008E710B"/>
    <w:rsid w:val="008F0DD7"/>
    <w:rsid w:val="008F2195"/>
    <w:rsid w:val="008F6936"/>
    <w:rsid w:val="008F7A22"/>
    <w:rsid w:val="00916212"/>
    <w:rsid w:val="00917E23"/>
    <w:rsid w:val="0092177A"/>
    <w:rsid w:val="00923E53"/>
    <w:rsid w:val="00924BCA"/>
    <w:rsid w:val="0092702F"/>
    <w:rsid w:val="00941B30"/>
    <w:rsid w:val="00946E82"/>
    <w:rsid w:val="00947A9D"/>
    <w:rsid w:val="00956225"/>
    <w:rsid w:val="0096088B"/>
    <w:rsid w:val="00963058"/>
    <w:rsid w:val="00963C2C"/>
    <w:rsid w:val="00971A79"/>
    <w:rsid w:val="00977E80"/>
    <w:rsid w:val="00977E82"/>
    <w:rsid w:val="009808D5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B717D"/>
    <w:rsid w:val="009C0509"/>
    <w:rsid w:val="009E10B6"/>
    <w:rsid w:val="009F2DF7"/>
    <w:rsid w:val="009F3CD3"/>
    <w:rsid w:val="009F5DC9"/>
    <w:rsid w:val="009F7D21"/>
    <w:rsid w:val="00A001C5"/>
    <w:rsid w:val="00A110CE"/>
    <w:rsid w:val="00A13FEC"/>
    <w:rsid w:val="00A17F5D"/>
    <w:rsid w:val="00A217D9"/>
    <w:rsid w:val="00A300D1"/>
    <w:rsid w:val="00A45D55"/>
    <w:rsid w:val="00A461F0"/>
    <w:rsid w:val="00A510AB"/>
    <w:rsid w:val="00A600FA"/>
    <w:rsid w:val="00A6192B"/>
    <w:rsid w:val="00A628AC"/>
    <w:rsid w:val="00A645E0"/>
    <w:rsid w:val="00A64FA9"/>
    <w:rsid w:val="00A80FEB"/>
    <w:rsid w:val="00A93F79"/>
    <w:rsid w:val="00AA0EE9"/>
    <w:rsid w:val="00AA4CFA"/>
    <w:rsid w:val="00AA4E8A"/>
    <w:rsid w:val="00AC121A"/>
    <w:rsid w:val="00AD66C8"/>
    <w:rsid w:val="00AE72CB"/>
    <w:rsid w:val="00AF4570"/>
    <w:rsid w:val="00B01700"/>
    <w:rsid w:val="00B02A64"/>
    <w:rsid w:val="00B050D7"/>
    <w:rsid w:val="00B06633"/>
    <w:rsid w:val="00B11613"/>
    <w:rsid w:val="00B17B54"/>
    <w:rsid w:val="00B2334A"/>
    <w:rsid w:val="00B274C3"/>
    <w:rsid w:val="00B36C7F"/>
    <w:rsid w:val="00B52E9D"/>
    <w:rsid w:val="00B568B1"/>
    <w:rsid w:val="00B5750A"/>
    <w:rsid w:val="00B6072A"/>
    <w:rsid w:val="00B63460"/>
    <w:rsid w:val="00B64B6B"/>
    <w:rsid w:val="00B73CE0"/>
    <w:rsid w:val="00B8399D"/>
    <w:rsid w:val="00B96674"/>
    <w:rsid w:val="00B9720A"/>
    <w:rsid w:val="00BA6C08"/>
    <w:rsid w:val="00BA7CCA"/>
    <w:rsid w:val="00BB5B04"/>
    <w:rsid w:val="00BC499C"/>
    <w:rsid w:val="00BD0D68"/>
    <w:rsid w:val="00BE0A17"/>
    <w:rsid w:val="00BE4695"/>
    <w:rsid w:val="00BE49FF"/>
    <w:rsid w:val="00BE7395"/>
    <w:rsid w:val="00BE7B5D"/>
    <w:rsid w:val="00BF09FD"/>
    <w:rsid w:val="00BF2754"/>
    <w:rsid w:val="00C036D9"/>
    <w:rsid w:val="00C054E8"/>
    <w:rsid w:val="00C44A3E"/>
    <w:rsid w:val="00C51DEA"/>
    <w:rsid w:val="00C5340C"/>
    <w:rsid w:val="00C566FA"/>
    <w:rsid w:val="00C60227"/>
    <w:rsid w:val="00C665C2"/>
    <w:rsid w:val="00C66C4C"/>
    <w:rsid w:val="00C7011A"/>
    <w:rsid w:val="00C7301B"/>
    <w:rsid w:val="00C76D77"/>
    <w:rsid w:val="00C81F0D"/>
    <w:rsid w:val="00C8352C"/>
    <w:rsid w:val="00C85330"/>
    <w:rsid w:val="00C9280C"/>
    <w:rsid w:val="00C9460B"/>
    <w:rsid w:val="00C959BF"/>
    <w:rsid w:val="00CA50C5"/>
    <w:rsid w:val="00CB0C27"/>
    <w:rsid w:val="00CB5C69"/>
    <w:rsid w:val="00CB6B9A"/>
    <w:rsid w:val="00CB7E6B"/>
    <w:rsid w:val="00CC4377"/>
    <w:rsid w:val="00CC69F3"/>
    <w:rsid w:val="00CC7BD2"/>
    <w:rsid w:val="00CD1B85"/>
    <w:rsid w:val="00CD5EEA"/>
    <w:rsid w:val="00CE008F"/>
    <w:rsid w:val="00CE1262"/>
    <w:rsid w:val="00CE3AF1"/>
    <w:rsid w:val="00CE73FF"/>
    <w:rsid w:val="00CF147E"/>
    <w:rsid w:val="00CF54C0"/>
    <w:rsid w:val="00D05822"/>
    <w:rsid w:val="00D05823"/>
    <w:rsid w:val="00D05A3C"/>
    <w:rsid w:val="00D13DC3"/>
    <w:rsid w:val="00D1591A"/>
    <w:rsid w:val="00D17904"/>
    <w:rsid w:val="00D41366"/>
    <w:rsid w:val="00D41F7D"/>
    <w:rsid w:val="00D47513"/>
    <w:rsid w:val="00D50717"/>
    <w:rsid w:val="00D509DF"/>
    <w:rsid w:val="00D5595B"/>
    <w:rsid w:val="00D56882"/>
    <w:rsid w:val="00D57302"/>
    <w:rsid w:val="00D640D6"/>
    <w:rsid w:val="00D73989"/>
    <w:rsid w:val="00D804E7"/>
    <w:rsid w:val="00D81523"/>
    <w:rsid w:val="00D82B6B"/>
    <w:rsid w:val="00D846FD"/>
    <w:rsid w:val="00D85F8F"/>
    <w:rsid w:val="00D901EC"/>
    <w:rsid w:val="00D9125A"/>
    <w:rsid w:val="00D92BD9"/>
    <w:rsid w:val="00DA1538"/>
    <w:rsid w:val="00DA26D9"/>
    <w:rsid w:val="00DB08D9"/>
    <w:rsid w:val="00DB147C"/>
    <w:rsid w:val="00DB2AB7"/>
    <w:rsid w:val="00DC291F"/>
    <w:rsid w:val="00DC341E"/>
    <w:rsid w:val="00DE537F"/>
    <w:rsid w:val="00DE6601"/>
    <w:rsid w:val="00E05437"/>
    <w:rsid w:val="00E13F41"/>
    <w:rsid w:val="00E21693"/>
    <w:rsid w:val="00E21E29"/>
    <w:rsid w:val="00E2447F"/>
    <w:rsid w:val="00E24632"/>
    <w:rsid w:val="00E27AFE"/>
    <w:rsid w:val="00E4735B"/>
    <w:rsid w:val="00E554CC"/>
    <w:rsid w:val="00E60E1A"/>
    <w:rsid w:val="00E6267E"/>
    <w:rsid w:val="00E64E91"/>
    <w:rsid w:val="00E86ABC"/>
    <w:rsid w:val="00E911BD"/>
    <w:rsid w:val="00E91D5D"/>
    <w:rsid w:val="00E93F15"/>
    <w:rsid w:val="00EA5F66"/>
    <w:rsid w:val="00EA6A28"/>
    <w:rsid w:val="00EA6D63"/>
    <w:rsid w:val="00EB03B1"/>
    <w:rsid w:val="00EB2E06"/>
    <w:rsid w:val="00EC0D87"/>
    <w:rsid w:val="00EC41B3"/>
    <w:rsid w:val="00EC5E3E"/>
    <w:rsid w:val="00EC7156"/>
    <w:rsid w:val="00EC7F52"/>
    <w:rsid w:val="00ED20BD"/>
    <w:rsid w:val="00ED6D51"/>
    <w:rsid w:val="00EE0165"/>
    <w:rsid w:val="00EE500A"/>
    <w:rsid w:val="00EE68FA"/>
    <w:rsid w:val="00EF4312"/>
    <w:rsid w:val="00EF51D8"/>
    <w:rsid w:val="00F00596"/>
    <w:rsid w:val="00F07707"/>
    <w:rsid w:val="00F07C6B"/>
    <w:rsid w:val="00F17B81"/>
    <w:rsid w:val="00F20EC7"/>
    <w:rsid w:val="00F23BE8"/>
    <w:rsid w:val="00F25837"/>
    <w:rsid w:val="00F41E19"/>
    <w:rsid w:val="00F460CC"/>
    <w:rsid w:val="00F5285E"/>
    <w:rsid w:val="00F6041D"/>
    <w:rsid w:val="00F67831"/>
    <w:rsid w:val="00F70330"/>
    <w:rsid w:val="00F71303"/>
    <w:rsid w:val="00F7149B"/>
    <w:rsid w:val="00F71D2F"/>
    <w:rsid w:val="00F839A6"/>
    <w:rsid w:val="00F84FD4"/>
    <w:rsid w:val="00F92194"/>
    <w:rsid w:val="00F92E2E"/>
    <w:rsid w:val="00F95850"/>
    <w:rsid w:val="00F978C0"/>
    <w:rsid w:val="00F97C2D"/>
    <w:rsid w:val="00FA67AD"/>
    <w:rsid w:val="00FB4ECC"/>
    <w:rsid w:val="00FB5191"/>
    <w:rsid w:val="00FC160B"/>
    <w:rsid w:val="00FE1C4C"/>
    <w:rsid w:val="00FF44F0"/>
    <w:rsid w:val="00FF45E2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,"/>
  <w:listSeparator w:val=";"/>
  <w14:docId w14:val="039C7728"/>
  <w15:docId w15:val="{AD2628FA-6A09-4236-9081-BDE633C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Grilledutableau">
    <w:name w:val="Table Grid"/>
    <w:basedOn w:val="Tableau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B43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43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3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32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5694"/>
  </w:style>
  <w:style w:type="paragraph" w:styleId="Pieddepage">
    <w:name w:val="footer"/>
    <w:basedOn w:val="Normal"/>
    <w:link w:val="PieddepageC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5694"/>
  </w:style>
  <w:style w:type="paragraph" w:styleId="Sansinterligne">
    <w:name w:val="No Spacing"/>
    <w:uiPriority w:val="1"/>
    <w:qFormat/>
    <w:rsid w:val="00EB2E0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5D4945"/>
    <w:rPr>
      <w:color w:val="0000FF" w:themeColor="hyperlink"/>
      <w:u w:val="single"/>
    </w:rPr>
  </w:style>
  <w:style w:type="table" w:customStyle="1" w:styleId="TableGrid1">
    <w:name w:val="Table Grid1"/>
    <w:basedOn w:val="TableauNormal"/>
    <w:next w:val="Grilledutableau"/>
    <w:uiPriority w:val="99"/>
    <w:rsid w:val="0081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BD4F0-2706-402B-8F3E-DE4892FB0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A32446-6A5C-4C1D-A2FC-BFEAE5911807}"/>
</file>

<file path=customXml/itemProps3.xml><?xml version="1.0" encoding="utf-8"?>
<ds:datastoreItem xmlns:ds="http://schemas.openxmlformats.org/officeDocument/2006/customXml" ds:itemID="{7279B1F1-C531-4900-8239-77E5F288D9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267B6-C53C-49AF-AD9F-727569A6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5995</Characters>
  <Application>Microsoft Office Word</Application>
  <DocSecurity>0</DocSecurity>
  <Lines>49</Lines>
  <Paragraphs>14</Paragraphs>
  <ScaleCrop>false</ScaleCrop>
  <HeadingPairs>
    <vt:vector size="10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M. Michel COUSQUER</cp:lastModifiedBy>
  <cp:revision>2</cp:revision>
  <cp:lastPrinted>2018-04-09T09:29:00Z</cp:lastPrinted>
  <dcterms:created xsi:type="dcterms:W3CDTF">2021-11-05T08:26:00Z</dcterms:created>
  <dcterms:modified xsi:type="dcterms:W3CDTF">2021-11-05T08:26:00Z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